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CA30" w14:textId="742062E3" w:rsidR="003D41E3" w:rsidRPr="00D22400" w:rsidRDefault="00FC2DAD" w:rsidP="008E4FDE">
      <w:pPr>
        <w:spacing w:after="120" w:line="259" w:lineRule="auto"/>
        <w:outlineLvl w:val="0"/>
        <w:rPr>
          <w:rFonts w:cs="Arial"/>
          <w:noProof/>
          <w:szCs w:val="20"/>
        </w:rPr>
      </w:pPr>
      <w:r w:rsidRPr="00D22400">
        <w:rPr>
          <w:rFonts w:cs="Arial"/>
          <w:noProof/>
          <w:szCs w:val="20"/>
          <w:lang w:val="en-US"/>
        </w:rPr>
        <mc:AlternateContent>
          <mc:Choice Requires="wps">
            <w:drawing>
              <wp:anchor distT="0" distB="0" distL="114300" distR="114300" simplePos="0" relativeHeight="251664384" behindDoc="0" locked="0" layoutInCell="1" allowOverlap="1" wp14:anchorId="33002AA3" wp14:editId="26F782D7">
                <wp:simplePos x="0" y="0"/>
                <wp:positionH relativeFrom="page">
                  <wp:posOffset>5267960</wp:posOffset>
                </wp:positionH>
                <wp:positionV relativeFrom="topMargin">
                  <wp:posOffset>960755</wp:posOffset>
                </wp:positionV>
                <wp:extent cx="2324100" cy="8445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44550"/>
                        </a:xfrm>
                        <a:prstGeom prst="rect">
                          <a:avLst/>
                        </a:prstGeom>
                        <a:solidFill>
                          <a:srgbClr val="FFFFFF"/>
                        </a:solidFill>
                        <a:ln w="9525">
                          <a:noFill/>
                          <a:miter lim="800000"/>
                          <a:headEnd/>
                          <a:tailEnd/>
                        </a:ln>
                      </wps:spPr>
                      <wps:txbx>
                        <w:txbxContent>
                          <w:p w14:paraId="7EDB2C1B" w14:textId="6D1A186C" w:rsidR="00FC2DAD" w:rsidRDefault="00FC2DAD" w:rsidP="00FC2DAD">
                            <w:pPr>
                              <w:pStyle w:val="JPP"/>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02AA3" id="_x0000_t202" coordsize="21600,21600" o:spt="202" path="m,l,21600r21600,l21600,xe">
                <v:stroke joinstyle="miter"/>
                <v:path gradientshapeok="t" o:connecttype="rect"/>
              </v:shapetype>
              <v:shape id="Text Box 307" o:spid="_x0000_s1026" type="#_x0000_t202" style="position:absolute;margin-left:414.8pt;margin-top:75.65pt;width:183pt;height: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CyDA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" stroked="f">
                <v:textbox>
                  <w:txbxContent>
                    <w:p w14:paraId="7EDB2C1B" w14:textId="6D1A186C" w:rsidR="00FC2DAD" w:rsidRDefault="00FC2DAD" w:rsidP="00FC2DAD">
                      <w:pPr>
                        <w:pStyle w:val="JPP"/>
                        <w:rPr>
                          <w:rFonts w:ascii="Arial" w:hAnsi="Arial" w:cs="Arial"/>
                          <w:sz w:val="16"/>
                          <w:szCs w:val="16"/>
                        </w:rPr>
                      </w:pPr>
                    </w:p>
                  </w:txbxContent>
                </v:textbox>
                <w10:wrap anchorx="page" anchory="margin"/>
              </v:shape>
            </w:pict>
          </mc:Fallback>
        </mc:AlternateContent>
      </w:r>
      <w:r w:rsidRPr="00D22400">
        <w:rPr>
          <w:rFonts w:cs="Arial"/>
          <w:noProof/>
          <w:szCs w:val="20"/>
        </w:rPr>
        <w:drawing>
          <wp:anchor distT="0" distB="0" distL="114300" distR="114300" simplePos="0" relativeHeight="251662336" behindDoc="1" locked="0" layoutInCell="1" allowOverlap="1" wp14:anchorId="44D05CD7" wp14:editId="088673FC">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tbl>
      <w:tblPr>
        <w:tblW w:w="10640" w:type="dxa"/>
        <w:tblInd w:w="-147" w:type="dxa"/>
        <w:tblLook w:val="0000" w:firstRow="0" w:lastRow="0" w:firstColumn="0" w:lastColumn="0" w:noHBand="0" w:noVBand="0"/>
      </w:tblPr>
      <w:tblGrid>
        <w:gridCol w:w="3997"/>
        <w:gridCol w:w="1344"/>
        <w:gridCol w:w="1849"/>
        <w:gridCol w:w="661"/>
        <w:gridCol w:w="1831"/>
        <w:gridCol w:w="958"/>
      </w:tblGrid>
      <w:tr w:rsidR="000D7F91" w:rsidRPr="00D22400" w14:paraId="0B7729E5" w14:textId="77777777" w:rsidTr="000D7F91">
        <w:trPr>
          <w:trHeight w:val="338"/>
        </w:trPr>
        <w:tc>
          <w:tcPr>
            <w:tcW w:w="4040" w:type="dxa"/>
            <w:vMerge w:val="restart"/>
          </w:tcPr>
          <w:p w14:paraId="75D15675" w14:textId="77777777" w:rsidR="004B28F5" w:rsidRDefault="004B28F5" w:rsidP="004B28F5">
            <w:pPr>
              <w:autoSpaceDE w:val="0"/>
              <w:autoSpaceDN w:val="0"/>
              <w:adjustRightInd w:val="0"/>
              <w:spacing w:after="120"/>
              <w:rPr>
                <w:rFonts w:cs="Arial"/>
                <w:szCs w:val="20"/>
              </w:rPr>
            </w:pPr>
            <w:r>
              <w:rPr>
                <w:rFonts w:cs="Arial"/>
                <w:szCs w:val="20"/>
              </w:rPr>
              <w:t>Liisa-Ly Pakosta</w:t>
            </w:r>
          </w:p>
          <w:p w14:paraId="7AEEAAD4" w14:textId="77777777" w:rsidR="004B28F5" w:rsidRDefault="004B28F5" w:rsidP="004B28F5">
            <w:pPr>
              <w:autoSpaceDE w:val="0"/>
              <w:autoSpaceDN w:val="0"/>
              <w:adjustRightInd w:val="0"/>
              <w:spacing w:after="120"/>
              <w:rPr>
                <w:rFonts w:cs="Arial"/>
                <w:szCs w:val="20"/>
              </w:rPr>
            </w:pPr>
            <w:r>
              <w:rPr>
                <w:rFonts w:cs="Arial"/>
                <w:szCs w:val="20"/>
              </w:rPr>
              <w:t>justiitsminister</w:t>
            </w:r>
          </w:p>
          <w:p w14:paraId="10E78082" w14:textId="311C8F9C" w:rsidR="00CA0614" w:rsidRPr="009C67F2" w:rsidRDefault="004B28F5" w:rsidP="004B28F5">
            <w:pPr>
              <w:spacing w:after="120" w:line="259" w:lineRule="auto"/>
              <w:jc w:val="both"/>
              <w:rPr>
                <w:bCs/>
              </w:rPr>
            </w:pPr>
            <w:r>
              <w:rPr>
                <w:rFonts w:cs="Arial"/>
                <w:szCs w:val="20"/>
              </w:rPr>
              <w:t>info@just.ee</w:t>
            </w:r>
          </w:p>
          <w:p w14:paraId="44B11717" w14:textId="4FEA8B52" w:rsidR="00D22400" w:rsidRPr="00D22400" w:rsidRDefault="00D22400" w:rsidP="008E4FDE">
            <w:pPr>
              <w:pStyle w:val="Normaallaadveeb"/>
              <w:shd w:val="clear" w:color="auto" w:fill="FFFFFF"/>
              <w:spacing w:before="0" w:beforeAutospacing="0" w:after="120" w:afterAutospacing="0" w:line="259" w:lineRule="auto"/>
              <w:rPr>
                <w:rFonts w:ascii="Calibri" w:hAnsi="Calibri" w:cs="Calibri"/>
                <w:color w:val="000000"/>
                <w:sz w:val="22"/>
                <w:szCs w:val="22"/>
              </w:rPr>
            </w:pPr>
          </w:p>
        </w:tc>
        <w:tc>
          <w:tcPr>
            <w:tcW w:w="1356" w:type="dxa"/>
          </w:tcPr>
          <w:p w14:paraId="58CFA5D8" w14:textId="77777777" w:rsidR="000D7F91" w:rsidRPr="00D22400" w:rsidRDefault="000D7F91" w:rsidP="008E4FDE">
            <w:pPr>
              <w:autoSpaceDE w:val="0"/>
              <w:autoSpaceDN w:val="0"/>
              <w:adjustRightInd w:val="0"/>
              <w:spacing w:after="120" w:line="259" w:lineRule="auto"/>
              <w:jc w:val="right"/>
              <w:rPr>
                <w:rFonts w:cs="Arial"/>
                <w:szCs w:val="20"/>
              </w:rPr>
            </w:pPr>
            <w:r w:rsidRPr="00D22400">
              <w:rPr>
                <w:rFonts w:cs="Arial"/>
                <w:szCs w:val="20"/>
              </w:rPr>
              <w:t>Teie</w:t>
            </w:r>
          </w:p>
        </w:tc>
        <w:tc>
          <w:tcPr>
            <w:tcW w:w="1868" w:type="dxa"/>
            <w:shd w:val="clear" w:color="auto" w:fill="auto"/>
          </w:tcPr>
          <w:p w14:paraId="311A3D2A" w14:textId="2F4942F7" w:rsidR="000D7F91" w:rsidRPr="00370EA2" w:rsidRDefault="007909A9" w:rsidP="008E4FDE">
            <w:pPr>
              <w:spacing w:after="120" w:line="259" w:lineRule="auto"/>
              <w:rPr>
                <w:rFonts w:cs="Arial"/>
                <w:szCs w:val="20"/>
              </w:rPr>
            </w:pPr>
            <w:r>
              <w:rPr>
                <w:rFonts w:cs="Arial"/>
                <w:szCs w:val="20"/>
              </w:rPr>
              <w:t>03.07</w:t>
            </w:r>
          </w:p>
        </w:tc>
        <w:tc>
          <w:tcPr>
            <w:tcW w:w="554" w:type="dxa"/>
            <w:shd w:val="clear" w:color="auto" w:fill="auto"/>
          </w:tcPr>
          <w:p w14:paraId="56A94B19" w14:textId="61EB353C" w:rsidR="000D7F91" w:rsidRPr="00370EA2" w:rsidRDefault="000D7F91" w:rsidP="008E4FDE">
            <w:pPr>
              <w:spacing w:after="120" w:line="259" w:lineRule="auto"/>
              <w:jc w:val="center"/>
              <w:rPr>
                <w:rFonts w:cs="Arial"/>
                <w:szCs w:val="20"/>
              </w:rPr>
            </w:pPr>
            <w:r w:rsidRPr="00370EA2">
              <w:rPr>
                <w:rFonts w:cs="Arial"/>
                <w:szCs w:val="20"/>
              </w:rPr>
              <w:t>20</w:t>
            </w:r>
            <w:r w:rsidR="00115CCE" w:rsidRPr="00370EA2">
              <w:rPr>
                <w:rFonts w:cs="Arial"/>
                <w:szCs w:val="20"/>
              </w:rPr>
              <w:t>2</w:t>
            </w:r>
            <w:r w:rsidR="00AC1970" w:rsidRPr="00370EA2">
              <w:rPr>
                <w:rFonts w:cs="Arial"/>
                <w:szCs w:val="20"/>
              </w:rPr>
              <w:t>4</w:t>
            </w:r>
          </w:p>
        </w:tc>
        <w:tc>
          <w:tcPr>
            <w:tcW w:w="1851" w:type="dxa"/>
            <w:shd w:val="clear" w:color="auto" w:fill="auto"/>
          </w:tcPr>
          <w:p w14:paraId="532DC1FA" w14:textId="018AFEE0" w:rsidR="000D7F91" w:rsidRPr="00370EA2" w:rsidRDefault="000D7F91" w:rsidP="008E4FDE">
            <w:pPr>
              <w:spacing w:after="120" w:line="259" w:lineRule="auto"/>
              <w:rPr>
                <w:rFonts w:cs="Arial"/>
                <w:szCs w:val="20"/>
              </w:rPr>
            </w:pPr>
            <w:r w:rsidRPr="00370EA2">
              <w:rPr>
                <w:rFonts w:cs="Arial"/>
                <w:szCs w:val="20"/>
              </w:rPr>
              <w:t>a nr</w:t>
            </w:r>
          </w:p>
        </w:tc>
        <w:tc>
          <w:tcPr>
            <w:tcW w:w="971" w:type="dxa"/>
            <w:tcBorders>
              <w:left w:val="nil"/>
            </w:tcBorders>
            <w:shd w:val="clear" w:color="auto" w:fill="auto"/>
          </w:tcPr>
          <w:p w14:paraId="1D77795A" w14:textId="77777777" w:rsidR="000D7F91" w:rsidRPr="00D22400" w:rsidRDefault="000D7F91" w:rsidP="008E4FDE">
            <w:pPr>
              <w:spacing w:after="120" w:line="259" w:lineRule="auto"/>
              <w:rPr>
                <w:rFonts w:cs="Arial"/>
                <w:szCs w:val="20"/>
              </w:rPr>
            </w:pPr>
          </w:p>
        </w:tc>
      </w:tr>
      <w:tr w:rsidR="000D7F91" w:rsidRPr="00D22400" w14:paraId="1E58ED1D" w14:textId="77777777" w:rsidTr="000D7F91">
        <w:trPr>
          <w:trHeight w:val="277"/>
        </w:trPr>
        <w:tc>
          <w:tcPr>
            <w:tcW w:w="4040" w:type="dxa"/>
            <w:vMerge/>
          </w:tcPr>
          <w:p w14:paraId="758EF281" w14:textId="77777777" w:rsidR="000D7F91" w:rsidRPr="00D22400" w:rsidRDefault="000D7F91" w:rsidP="008E4FDE">
            <w:pPr>
              <w:autoSpaceDE w:val="0"/>
              <w:autoSpaceDN w:val="0"/>
              <w:adjustRightInd w:val="0"/>
              <w:spacing w:after="120" w:line="259" w:lineRule="auto"/>
              <w:rPr>
                <w:rFonts w:cs="Arial"/>
                <w:szCs w:val="20"/>
              </w:rPr>
            </w:pPr>
            <w:bookmarkStart w:id="0" w:name="_Hlk60063564"/>
          </w:p>
        </w:tc>
        <w:tc>
          <w:tcPr>
            <w:tcW w:w="1356" w:type="dxa"/>
          </w:tcPr>
          <w:p w14:paraId="07FA4789" w14:textId="77777777" w:rsidR="000D7F91" w:rsidRPr="00D22400" w:rsidRDefault="000D7F91" w:rsidP="008E4FDE">
            <w:pPr>
              <w:autoSpaceDE w:val="0"/>
              <w:autoSpaceDN w:val="0"/>
              <w:adjustRightInd w:val="0"/>
              <w:spacing w:after="120" w:line="259" w:lineRule="auto"/>
              <w:jc w:val="right"/>
              <w:rPr>
                <w:rFonts w:cs="Arial"/>
                <w:szCs w:val="20"/>
              </w:rPr>
            </w:pPr>
            <w:r w:rsidRPr="00D22400">
              <w:rPr>
                <w:rFonts w:cs="Arial"/>
                <w:szCs w:val="20"/>
              </w:rPr>
              <w:t>Meie</w:t>
            </w:r>
          </w:p>
        </w:tc>
        <w:tc>
          <w:tcPr>
            <w:tcW w:w="1868" w:type="dxa"/>
            <w:shd w:val="clear" w:color="auto" w:fill="auto"/>
          </w:tcPr>
          <w:p w14:paraId="2797123C" w14:textId="27F3721D" w:rsidR="000D7F91" w:rsidRPr="00290C39" w:rsidRDefault="007909A9" w:rsidP="008E4FDE">
            <w:pPr>
              <w:spacing w:after="120" w:line="259" w:lineRule="auto"/>
              <w:rPr>
                <w:rFonts w:cs="Arial"/>
                <w:szCs w:val="20"/>
              </w:rPr>
            </w:pPr>
            <w:r>
              <w:rPr>
                <w:rFonts w:cs="Arial"/>
                <w:szCs w:val="20"/>
              </w:rPr>
              <w:t>22</w:t>
            </w:r>
            <w:r w:rsidR="00621AF1" w:rsidRPr="00290C39">
              <w:rPr>
                <w:rFonts w:cs="Arial"/>
                <w:szCs w:val="20"/>
              </w:rPr>
              <w:t>.08</w:t>
            </w:r>
          </w:p>
        </w:tc>
        <w:tc>
          <w:tcPr>
            <w:tcW w:w="554" w:type="dxa"/>
            <w:shd w:val="clear" w:color="auto" w:fill="auto"/>
          </w:tcPr>
          <w:p w14:paraId="69A35BDD" w14:textId="44B1C108" w:rsidR="000D7F91" w:rsidRPr="00290C39" w:rsidRDefault="000D7F91" w:rsidP="008E4FDE">
            <w:pPr>
              <w:spacing w:after="120" w:line="259" w:lineRule="auto"/>
              <w:jc w:val="center"/>
              <w:rPr>
                <w:rFonts w:cs="Arial"/>
                <w:szCs w:val="20"/>
              </w:rPr>
            </w:pPr>
            <w:r w:rsidRPr="00290C39">
              <w:rPr>
                <w:rFonts w:cs="Arial"/>
                <w:szCs w:val="20"/>
              </w:rPr>
              <w:t>20</w:t>
            </w:r>
            <w:r w:rsidR="00D22400" w:rsidRPr="00290C39">
              <w:rPr>
                <w:rFonts w:cs="Arial"/>
                <w:szCs w:val="20"/>
              </w:rPr>
              <w:t>2</w:t>
            </w:r>
            <w:r w:rsidR="00AC1970" w:rsidRPr="00290C39">
              <w:rPr>
                <w:rFonts w:cs="Arial"/>
                <w:szCs w:val="20"/>
              </w:rPr>
              <w:t>4</w:t>
            </w:r>
          </w:p>
        </w:tc>
        <w:tc>
          <w:tcPr>
            <w:tcW w:w="1851" w:type="dxa"/>
            <w:shd w:val="clear" w:color="auto" w:fill="auto"/>
          </w:tcPr>
          <w:p w14:paraId="44664679" w14:textId="247C8767" w:rsidR="002F3E09" w:rsidRPr="00290C39" w:rsidRDefault="000D7F91" w:rsidP="008E4FDE">
            <w:pPr>
              <w:autoSpaceDE w:val="0"/>
              <w:autoSpaceDN w:val="0"/>
              <w:spacing w:after="120" w:line="259" w:lineRule="auto"/>
              <w:rPr>
                <w:rFonts w:ascii="Calibri" w:hAnsi="Calibri"/>
              </w:rPr>
            </w:pPr>
            <w:r w:rsidRPr="00290C39">
              <w:rPr>
                <w:rFonts w:cs="Arial"/>
                <w:szCs w:val="20"/>
              </w:rPr>
              <w:t xml:space="preserve">a nr </w:t>
            </w:r>
            <w:r w:rsidR="00E00AD6" w:rsidRPr="00290C39">
              <w:rPr>
                <w:rFonts w:cs="Arial"/>
                <w:szCs w:val="20"/>
              </w:rPr>
              <w:t>10-3/</w:t>
            </w:r>
            <w:r w:rsidR="00290C39" w:rsidRPr="00290C39">
              <w:rPr>
                <w:rFonts w:cs="Arial"/>
                <w:szCs w:val="20"/>
              </w:rPr>
              <w:t>2</w:t>
            </w:r>
            <w:r w:rsidR="007909A9">
              <w:rPr>
                <w:rFonts w:cs="Arial"/>
                <w:szCs w:val="20"/>
              </w:rPr>
              <w:t>1</w:t>
            </w:r>
            <w:r w:rsidR="00370EA2" w:rsidRPr="00290C39">
              <w:rPr>
                <w:rFonts w:cs="Arial"/>
                <w:szCs w:val="20"/>
              </w:rPr>
              <w:t>-2</w:t>
            </w:r>
          </w:p>
          <w:p w14:paraId="2A0A5C2C" w14:textId="22AA5B56" w:rsidR="000D7F91" w:rsidRPr="00290C39" w:rsidRDefault="000D7F91" w:rsidP="008E4FDE">
            <w:pPr>
              <w:spacing w:after="120" w:line="259" w:lineRule="auto"/>
              <w:rPr>
                <w:rFonts w:cs="Arial"/>
                <w:szCs w:val="20"/>
              </w:rPr>
            </w:pPr>
          </w:p>
        </w:tc>
        <w:tc>
          <w:tcPr>
            <w:tcW w:w="971" w:type="dxa"/>
            <w:tcBorders>
              <w:left w:val="nil"/>
            </w:tcBorders>
            <w:shd w:val="clear" w:color="auto" w:fill="auto"/>
          </w:tcPr>
          <w:p w14:paraId="6A7ED25B" w14:textId="77777777" w:rsidR="000D7F91" w:rsidRPr="00D22400" w:rsidRDefault="000D7F91" w:rsidP="008E4FDE">
            <w:pPr>
              <w:spacing w:after="120" w:line="259" w:lineRule="auto"/>
              <w:rPr>
                <w:rFonts w:cs="Arial"/>
                <w:szCs w:val="20"/>
              </w:rPr>
            </w:pPr>
          </w:p>
        </w:tc>
      </w:tr>
    </w:tbl>
    <w:bookmarkEnd w:id="0"/>
    <w:p w14:paraId="6948A23E" w14:textId="6F075C29" w:rsidR="003436D5" w:rsidRDefault="007909A9" w:rsidP="008E4FDE">
      <w:pPr>
        <w:spacing w:after="120" w:line="259" w:lineRule="auto"/>
        <w:jc w:val="both"/>
        <w:rPr>
          <w:bCs/>
        </w:rPr>
      </w:pPr>
      <w:r w:rsidRPr="007909A9">
        <w:rPr>
          <w:b/>
          <w:bCs/>
        </w:rPr>
        <w:t>Kriminaalmenetluse seadustiku, riigilõivuseaduse ja riigi õigusabi seaduse muutmise seaduse (kohtumenetluse optimeerimine) eelnõu</w:t>
      </w:r>
    </w:p>
    <w:p w14:paraId="4E897BCF" w14:textId="77777777" w:rsidR="007909A9" w:rsidRDefault="007909A9" w:rsidP="008E4FDE">
      <w:pPr>
        <w:spacing w:after="120" w:line="259" w:lineRule="auto"/>
        <w:jc w:val="both"/>
        <w:rPr>
          <w:bCs/>
        </w:rPr>
      </w:pPr>
    </w:p>
    <w:p w14:paraId="541D1DF8" w14:textId="12A19AEB" w:rsidR="00115CCE" w:rsidRPr="009C67F2" w:rsidRDefault="00115CCE" w:rsidP="008E4FDE">
      <w:pPr>
        <w:spacing w:after="120" w:line="259" w:lineRule="auto"/>
        <w:jc w:val="both"/>
        <w:rPr>
          <w:bCs/>
        </w:rPr>
      </w:pPr>
      <w:r w:rsidRPr="009C67F2">
        <w:rPr>
          <w:bCs/>
        </w:rPr>
        <w:t xml:space="preserve">Lugupeetud </w:t>
      </w:r>
      <w:r w:rsidR="004B28F5">
        <w:rPr>
          <w:bCs/>
        </w:rPr>
        <w:t>Liisa – Ly Pakosta</w:t>
      </w:r>
    </w:p>
    <w:p w14:paraId="1D3B8A5E" w14:textId="52697375" w:rsidR="006946DF" w:rsidRPr="00290C39" w:rsidRDefault="00115CCE" w:rsidP="008E4FDE">
      <w:pPr>
        <w:spacing w:after="120" w:line="259" w:lineRule="auto"/>
        <w:jc w:val="both"/>
        <w:rPr>
          <w:bCs/>
        </w:rPr>
      </w:pPr>
      <w:r w:rsidRPr="00290C39">
        <w:rPr>
          <w:bCs/>
        </w:rPr>
        <w:t>Täname võimaluse eest avaldada arvamust</w:t>
      </w:r>
      <w:r w:rsidR="003436D5" w:rsidRPr="00290C39">
        <w:rPr>
          <w:bCs/>
        </w:rPr>
        <w:t xml:space="preserve"> </w:t>
      </w:r>
      <w:r w:rsidR="006946DF" w:rsidRPr="00290C39">
        <w:rPr>
          <w:bCs/>
        </w:rPr>
        <w:t>eelnõu projektil</w:t>
      </w:r>
      <w:r w:rsidR="00226A15" w:rsidRPr="00290C39">
        <w:rPr>
          <w:bCs/>
        </w:rPr>
        <w:t xml:space="preserve">e. </w:t>
      </w:r>
      <w:r w:rsidR="00621AF1" w:rsidRPr="00290C39">
        <w:rPr>
          <w:bCs/>
        </w:rPr>
        <w:t xml:space="preserve">Tegime kohtuülese arutelu, kus arutasime </w:t>
      </w:r>
      <w:r w:rsidR="00290C39">
        <w:rPr>
          <w:bCs/>
        </w:rPr>
        <w:t>eelnõud</w:t>
      </w:r>
      <w:r w:rsidR="007909A9">
        <w:rPr>
          <w:bCs/>
        </w:rPr>
        <w:t xml:space="preserve"> koos justiitsministeeriumi </w:t>
      </w:r>
      <w:r w:rsidR="007909A9" w:rsidRPr="007909A9">
        <w:rPr>
          <w:bCs/>
        </w:rPr>
        <w:t>karistusõiguse ja menetluse talituse juhataja Andreas Kangur</w:t>
      </w:r>
      <w:r w:rsidR="007909A9">
        <w:rPr>
          <w:bCs/>
        </w:rPr>
        <w:t>iga. Omapoolseid arvamusi eelnõu kohta esitas kaks kohtunikku.</w:t>
      </w:r>
    </w:p>
    <w:p w14:paraId="4FDD86D5" w14:textId="65FE22D1" w:rsidR="00302E07" w:rsidRDefault="007909A9" w:rsidP="007909A9">
      <w:pPr>
        <w:spacing w:after="120" w:line="259" w:lineRule="auto"/>
        <w:jc w:val="both"/>
        <w:rPr>
          <w:rFonts w:cs="Arial"/>
          <w:color w:val="000000" w:themeColor="text1"/>
          <w:szCs w:val="20"/>
        </w:rPr>
      </w:pPr>
      <w:r w:rsidRPr="007909A9">
        <w:rPr>
          <w:rFonts w:cs="Arial"/>
          <w:color w:val="000000" w:themeColor="text1"/>
          <w:szCs w:val="20"/>
        </w:rPr>
        <w:t>Lei</w:t>
      </w:r>
      <w:r>
        <w:rPr>
          <w:rFonts w:cs="Arial"/>
          <w:color w:val="000000" w:themeColor="text1"/>
          <w:szCs w:val="20"/>
        </w:rPr>
        <w:t>ti</w:t>
      </w:r>
      <w:r w:rsidRPr="007909A9">
        <w:rPr>
          <w:rFonts w:cs="Arial"/>
          <w:color w:val="000000" w:themeColor="text1"/>
          <w:szCs w:val="20"/>
        </w:rPr>
        <w:t>, et eelnõus toodud muudatused kohtumenetluse lihtsustamiseks on vajalikud ning soodustavad menetluse kiiruse kasvu.</w:t>
      </w:r>
      <w:r>
        <w:rPr>
          <w:rFonts w:cs="Arial"/>
          <w:color w:val="000000" w:themeColor="text1"/>
          <w:szCs w:val="20"/>
        </w:rPr>
        <w:t xml:space="preserve"> E</w:t>
      </w:r>
      <w:r w:rsidRPr="007909A9">
        <w:rPr>
          <w:rFonts w:cs="Arial"/>
          <w:color w:val="000000" w:themeColor="text1"/>
          <w:szCs w:val="20"/>
        </w:rPr>
        <w:t>eluurimiskohtuniku lahendatavate asjade kohtualluvuse muutmise</w:t>
      </w:r>
      <w:r>
        <w:rPr>
          <w:rFonts w:cs="Arial"/>
          <w:color w:val="000000" w:themeColor="text1"/>
          <w:szCs w:val="20"/>
        </w:rPr>
        <w:t xml:space="preserve"> osas oldi seiskohal, et s</w:t>
      </w:r>
      <w:r w:rsidRPr="007909A9">
        <w:rPr>
          <w:rFonts w:cs="Arial"/>
          <w:color w:val="000000" w:themeColor="text1"/>
          <w:szCs w:val="20"/>
        </w:rPr>
        <w:t xml:space="preserve">elline muudatus vähemalt alguses võib olla segadust tekitav ning asjade lahendamine võib võtta kauem aega. Paratamatult eri piirkondade praktikad on veidi erinevad ning ka korraldusliku poole sujuv toimimine võtab aega ja harjumist. Eelnõu kohaselt ei muudeta kõikide eeluurimisasjade kohtualluvust ja kuigi põhjendused, miks seda ei tehta on mõistetavad, siis </w:t>
      </w:r>
      <w:r>
        <w:rPr>
          <w:rFonts w:cs="Arial"/>
          <w:color w:val="000000" w:themeColor="text1"/>
          <w:szCs w:val="20"/>
        </w:rPr>
        <w:t>on oluline</w:t>
      </w:r>
      <w:r w:rsidRPr="007909A9">
        <w:rPr>
          <w:rFonts w:cs="Arial"/>
          <w:color w:val="000000" w:themeColor="text1"/>
          <w:szCs w:val="20"/>
        </w:rPr>
        <w:t xml:space="preserve"> välja tuua, et olukord, kus sama kriminaalasja eeluurimist toimetatavad eri kohtu kohtunikud, ei pruugi alati kaasa tuua soovitud tulemust kohtu töö vähendamisel. Nii on näiteks läbiotsimise taotluse lahendamine/lubatavaks tunnistamine tihti eelnev vahistamistaotlusele, mis tähendab eelnõu muudatuste kohaselt, et sama kriminaalasjaga tutvuvad lühikese aja jooksul või miks mitte ka samaaegselt kaks erinevat kohtunikku. Kui eesmärk on kohtu  tööaja ressursi võimalikult optimaalselt kasutada, siis selline lahendus eesmärki ei täida.</w:t>
      </w:r>
    </w:p>
    <w:p w14:paraId="2AE0ACA9" w14:textId="643E2BED" w:rsidR="00E73E9E" w:rsidRDefault="00E73E9E" w:rsidP="00E73E9E">
      <w:pPr>
        <w:spacing w:after="120" w:line="259" w:lineRule="auto"/>
        <w:jc w:val="both"/>
        <w:rPr>
          <w:rFonts w:cs="Arial"/>
          <w:color w:val="000000" w:themeColor="text1"/>
          <w:szCs w:val="20"/>
        </w:rPr>
      </w:pPr>
      <w:r>
        <w:rPr>
          <w:rFonts w:cs="Arial"/>
          <w:color w:val="000000" w:themeColor="text1"/>
          <w:szCs w:val="20"/>
        </w:rPr>
        <w:t xml:space="preserve">Eelnõu koostamise juures ei ole arvestatud tsiviilasju lahendavate kohtunike koormuse pideva kasvuga. </w:t>
      </w:r>
      <w:r w:rsidRPr="00E73E9E">
        <w:rPr>
          <w:rFonts w:cs="Arial"/>
          <w:color w:val="000000" w:themeColor="text1"/>
          <w:szCs w:val="20"/>
        </w:rPr>
        <w:t>Tsiviilhagide osas on märgitud, et tegemist on mahukate ja keerukate hagidega. Selles ei ole kahtlust, aga ega n</w:t>
      </w:r>
      <w:r w:rsidR="00B3453A">
        <w:rPr>
          <w:rFonts w:cs="Arial"/>
          <w:color w:val="000000" w:themeColor="text1"/>
          <w:szCs w:val="20"/>
        </w:rPr>
        <w:t>eed hagid</w:t>
      </w:r>
      <w:r w:rsidRPr="00E73E9E">
        <w:rPr>
          <w:rFonts w:cs="Arial"/>
          <w:color w:val="000000" w:themeColor="text1"/>
          <w:szCs w:val="20"/>
        </w:rPr>
        <w:t xml:space="preserve"> ei muutu tsiviilmenetlusse üle tõstes vähem mahukaks ja vähem keerukaks. </w:t>
      </w:r>
      <w:r>
        <w:rPr>
          <w:rFonts w:cs="Arial"/>
          <w:color w:val="000000" w:themeColor="text1"/>
          <w:szCs w:val="20"/>
        </w:rPr>
        <w:t>Eelnõus ei ole statistilist analüüsi kui palju kriminaalmenetlusi just tsiviilhagi tõttu venima jäävad (keerukus vms) ja kui paljudel juhtudel on tegemist siiski muude asjaoludega</w:t>
      </w:r>
      <w:r w:rsidR="00B3453A">
        <w:rPr>
          <w:rFonts w:cs="Arial"/>
          <w:color w:val="000000" w:themeColor="text1"/>
          <w:szCs w:val="20"/>
        </w:rPr>
        <w:t xml:space="preserve"> (kaitsetaktika vms)</w:t>
      </w:r>
      <w:r>
        <w:rPr>
          <w:rFonts w:cs="Arial"/>
          <w:color w:val="000000" w:themeColor="text1"/>
          <w:szCs w:val="20"/>
        </w:rPr>
        <w:t xml:space="preserve">. Olemasoleva süsteemi muutmiseks peavad olema kaalukad põhjused, mida hetkel seletuskirjast ei ilmne. Isikute sundimine nn kahekordseks menetluseks (esmalt kriminaalmenetlus ja siis veel tsiviilmenetlus) ei ole põhjendatud. </w:t>
      </w:r>
    </w:p>
    <w:p w14:paraId="0B329B53" w14:textId="547AB08C" w:rsidR="00E73E9E" w:rsidRPr="00E73E9E" w:rsidRDefault="00E73E9E" w:rsidP="00E73E9E">
      <w:pPr>
        <w:spacing w:after="120" w:line="259" w:lineRule="auto"/>
        <w:jc w:val="both"/>
        <w:rPr>
          <w:rFonts w:cs="Arial"/>
          <w:color w:val="000000" w:themeColor="text1"/>
          <w:szCs w:val="20"/>
        </w:rPr>
      </w:pPr>
      <w:r>
        <w:rPr>
          <w:rFonts w:cs="Arial"/>
          <w:color w:val="000000" w:themeColor="text1"/>
          <w:szCs w:val="20"/>
        </w:rPr>
        <w:t>S</w:t>
      </w:r>
      <w:r w:rsidRPr="00E73E9E">
        <w:rPr>
          <w:rFonts w:cs="Arial"/>
          <w:color w:val="000000" w:themeColor="text1"/>
          <w:szCs w:val="20"/>
        </w:rPr>
        <w:t>eadustada võimalus arstitõendi välja andnud arsti ülekuulamiseks</w:t>
      </w:r>
      <w:r>
        <w:rPr>
          <w:rFonts w:cs="Arial"/>
          <w:color w:val="000000" w:themeColor="text1"/>
          <w:szCs w:val="20"/>
        </w:rPr>
        <w:t xml:space="preserve"> on vajalik meede ka tsiviilkohtumenetluses. </w:t>
      </w:r>
    </w:p>
    <w:p w14:paraId="3A574808" w14:textId="77777777" w:rsidR="00E73E9E" w:rsidRPr="00E73E9E" w:rsidRDefault="00E73E9E" w:rsidP="00E73E9E">
      <w:pPr>
        <w:spacing w:after="120" w:line="259" w:lineRule="auto"/>
        <w:jc w:val="both"/>
        <w:rPr>
          <w:rFonts w:cs="Arial"/>
          <w:color w:val="000000" w:themeColor="text1"/>
          <w:szCs w:val="20"/>
        </w:rPr>
      </w:pPr>
    </w:p>
    <w:p w14:paraId="73F4DA27" w14:textId="77777777" w:rsidR="00290C39" w:rsidRDefault="00290C39" w:rsidP="008E4FDE">
      <w:pPr>
        <w:spacing w:after="120" w:line="259" w:lineRule="auto"/>
        <w:jc w:val="both"/>
        <w:rPr>
          <w:rFonts w:cs="Arial"/>
          <w:szCs w:val="20"/>
        </w:rPr>
      </w:pPr>
    </w:p>
    <w:p w14:paraId="0844CED6" w14:textId="1FB05687" w:rsidR="00D22400" w:rsidRDefault="00D22400" w:rsidP="008E4FDE">
      <w:pPr>
        <w:spacing w:after="120" w:line="259" w:lineRule="auto"/>
        <w:jc w:val="both"/>
        <w:rPr>
          <w:rFonts w:cs="Arial"/>
          <w:szCs w:val="20"/>
        </w:rPr>
      </w:pPr>
      <w:r>
        <w:rPr>
          <w:rFonts w:cs="Arial"/>
          <w:szCs w:val="20"/>
        </w:rPr>
        <w:t>Lugupidamisega</w:t>
      </w:r>
    </w:p>
    <w:p w14:paraId="47120412" w14:textId="0A1ED88A" w:rsidR="006946DF" w:rsidRDefault="006946DF" w:rsidP="008E4FDE">
      <w:pPr>
        <w:spacing w:after="120" w:line="259" w:lineRule="auto"/>
        <w:jc w:val="both"/>
        <w:rPr>
          <w:rFonts w:cs="Arial"/>
          <w:szCs w:val="20"/>
        </w:rPr>
      </w:pPr>
      <w:r>
        <w:rPr>
          <w:rFonts w:cs="Arial"/>
          <w:szCs w:val="20"/>
        </w:rPr>
        <w:t>Liina Naaber-Kivisoo</w:t>
      </w:r>
    </w:p>
    <w:p w14:paraId="4D893202" w14:textId="5529A36C" w:rsidR="001D50D7" w:rsidRPr="00D22400" w:rsidRDefault="00583979" w:rsidP="008E4FDE">
      <w:pPr>
        <w:spacing w:after="120" w:line="259" w:lineRule="auto"/>
        <w:jc w:val="both"/>
        <w:rPr>
          <w:rFonts w:cs="Arial"/>
          <w:szCs w:val="20"/>
        </w:rPr>
      </w:pPr>
      <w:r>
        <w:rPr>
          <w:rFonts w:cs="Arial"/>
          <w:szCs w:val="20"/>
        </w:rPr>
        <w:t>Vir</w:t>
      </w:r>
      <w:r w:rsidR="00F42F52">
        <w:rPr>
          <w:rFonts w:cs="Arial"/>
          <w:szCs w:val="20"/>
        </w:rPr>
        <w:t>u Maakohtu esimees</w:t>
      </w:r>
    </w:p>
    <w:sectPr w:rsidR="001D50D7" w:rsidRPr="00D22400" w:rsidSect="00811E61">
      <w:headerReference w:type="first" r:id="rId10"/>
      <w:footerReference w:type="first" r:id="rId11"/>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65F7" w14:textId="77777777" w:rsidR="0000649E" w:rsidRDefault="0000649E" w:rsidP="00DA1915">
      <w:r>
        <w:separator/>
      </w:r>
    </w:p>
  </w:endnote>
  <w:endnote w:type="continuationSeparator" w:id="0">
    <w:p w14:paraId="347DAF4F" w14:textId="77777777" w:rsidR="0000649E" w:rsidRDefault="0000649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1"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7"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2"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D644" w14:textId="77777777" w:rsidR="0000649E" w:rsidRDefault="0000649E" w:rsidP="00DA1915">
      <w:r>
        <w:separator/>
      </w:r>
    </w:p>
  </w:footnote>
  <w:footnote w:type="continuationSeparator" w:id="0">
    <w:p w14:paraId="652447E7" w14:textId="77777777" w:rsidR="0000649E" w:rsidRDefault="0000649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5CA01A23" w:rsidR="00C94E3C" w:rsidRDefault="00457403">
    <w:pPr>
      <w:pStyle w:val="Pis"/>
    </w:pPr>
    <w:r w:rsidRPr="00F843AC">
      <w:rPr>
        <w:noProof/>
      </w:rPr>
      <w:drawing>
        <wp:anchor distT="0" distB="0" distL="114300" distR="114300" simplePos="0" relativeHeight="251677696" behindDoc="0" locked="0" layoutInCell="1" allowOverlap="1" wp14:anchorId="05178A8F" wp14:editId="6B78D14A">
          <wp:simplePos x="0" y="0"/>
          <wp:positionH relativeFrom="page">
            <wp:align>center</wp:align>
          </wp:positionH>
          <wp:positionV relativeFrom="page">
            <wp:align>top</wp:align>
          </wp:positionV>
          <wp:extent cx="2401200" cy="144000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rPr>
      <w:drawing>
        <wp:anchor distT="0" distB="0" distL="114300" distR="114300" simplePos="0" relativeHeight="251675648" behindDoc="0" locked="0" layoutInCell="1" allowOverlap="1" wp14:anchorId="56118C56" wp14:editId="0015BA7E">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rPr>
      <mc:AlternateContent>
        <mc:Choice Requires="wps">
          <w:drawing>
            <wp:anchor distT="0" distB="0" distL="114300" distR="114300" simplePos="0" relativeHeight="251673600" behindDoc="0" locked="0" layoutInCell="1" allowOverlap="1" wp14:anchorId="63117400" wp14:editId="2A9A65C9">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1A64D"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B1D"/>
    <w:multiLevelType w:val="hybridMultilevel"/>
    <w:tmpl w:val="F618AA10"/>
    <w:lvl w:ilvl="0" w:tplc="A412E482">
      <w:start w:val="1"/>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D04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6E5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2B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2AB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A1F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27E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CDF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2C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1E19B5"/>
    <w:multiLevelType w:val="hybridMultilevel"/>
    <w:tmpl w:val="AB74EDF6"/>
    <w:lvl w:ilvl="0" w:tplc="BDC609B4">
      <w:start w:val="7"/>
      <w:numFmt w:val="bullet"/>
      <w:lvlText w:val="-"/>
      <w:lvlJc w:val="left"/>
      <w:pPr>
        <w:ind w:left="720" w:hanging="360"/>
      </w:pPr>
      <w:rPr>
        <w:rFonts w:ascii="Arial" w:eastAsiaTheme="minorHAnsi" w:hAnsi="Arial" w:cs="Arial" w:hint="default"/>
        <w:i/>
        <w:color w:val="00B05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74056408">
    <w:abstractNumId w:val="0"/>
  </w:num>
  <w:num w:numId="2" w16cid:durableId="2080512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0649E"/>
    <w:rsid w:val="0002127B"/>
    <w:rsid w:val="00046A91"/>
    <w:rsid w:val="00050D1F"/>
    <w:rsid w:val="0006211A"/>
    <w:rsid w:val="00096527"/>
    <w:rsid w:val="000D7F91"/>
    <w:rsid w:val="00115CCE"/>
    <w:rsid w:val="00115FF0"/>
    <w:rsid w:val="00130A2F"/>
    <w:rsid w:val="0014272C"/>
    <w:rsid w:val="001444F8"/>
    <w:rsid w:val="00147670"/>
    <w:rsid w:val="00153547"/>
    <w:rsid w:val="00155A80"/>
    <w:rsid w:val="001A0D48"/>
    <w:rsid w:val="001C4756"/>
    <w:rsid w:val="001C7565"/>
    <w:rsid w:val="001D50D7"/>
    <w:rsid w:val="00224945"/>
    <w:rsid w:val="00225B96"/>
    <w:rsid w:val="00226A15"/>
    <w:rsid w:val="002422E2"/>
    <w:rsid w:val="002719AB"/>
    <w:rsid w:val="00290C39"/>
    <w:rsid w:val="002E397E"/>
    <w:rsid w:val="002F3E09"/>
    <w:rsid w:val="002F4455"/>
    <w:rsid w:val="0030100D"/>
    <w:rsid w:val="00302E07"/>
    <w:rsid w:val="003064CA"/>
    <w:rsid w:val="003436D5"/>
    <w:rsid w:val="00352056"/>
    <w:rsid w:val="00370EA2"/>
    <w:rsid w:val="003824E0"/>
    <w:rsid w:val="003A6D85"/>
    <w:rsid w:val="003D41E3"/>
    <w:rsid w:val="003F0460"/>
    <w:rsid w:val="003F6F57"/>
    <w:rsid w:val="004365BC"/>
    <w:rsid w:val="0043691B"/>
    <w:rsid w:val="00457403"/>
    <w:rsid w:val="004900A5"/>
    <w:rsid w:val="004A1192"/>
    <w:rsid w:val="004A5646"/>
    <w:rsid w:val="004B28F5"/>
    <w:rsid w:val="0051481A"/>
    <w:rsid w:val="00543457"/>
    <w:rsid w:val="0055716E"/>
    <w:rsid w:val="005708AC"/>
    <w:rsid w:val="00572025"/>
    <w:rsid w:val="00583979"/>
    <w:rsid w:val="005F0FF9"/>
    <w:rsid w:val="00621AF1"/>
    <w:rsid w:val="006444D2"/>
    <w:rsid w:val="006946DF"/>
    <w:rsid w:val="006A1444"/>
    <w:rsid w:val="006A69E8"/>
    <w:rsid w:val="006B1210"/>
    <w:rsid w:val="006D5809"/>
    <w:rsid w:val="006F02D2"/>
    <w:rsid w:val="00737759"/>
    <w:rsid w:val="007909A9"/>
    <w:rsid w:val="00791DB2"/>
    <w:rsid w:val="00796356"/>
    <w:rsid w:val="007A4975"/>
    <w:rsid w:val="007B7B17"/>
    <w:rsid w:val="007E212C"/>
    <w:rsid w:val="00811E61"/>
    <w:rsid w:val="0082107E"/>
    <w:rsid w:val="00827910"/>
    <w:rsid w:val="00835FA9"/>
    <w:rsid w:val="00873A81"/>
    <w:rsid w:val="008C6C27"/>
    <w:rsid w:val="008E4FDE"/>
    <w:rsid w:val="008F030F"/>
    <w:rsid w:val="008F0FC9"/>
    <w:rsid w:val="008F167E"/>
    <w:rsid w:val="00901003"/>
    <w:rsid w:val="0094633F"/>
    <w:rsid w:val="00990296"/>
    <w:rsid w:val="009B02B4"/>
    <w:rsid w:val="009B5A17"/>
    <w:rsid w:val="00A02A37"/>
    <w:rsid w:val="00A252B8"/>
    <w:rsid w:val="00A279CA"/>
    <w:rsid w:val="00A3029D"/>
    <w:rsid w:val="00A52543"/>
    <w:rsid w:val="00AA2AFB"/>
    <w:rsid w:val="00AA4A20"/>
    <w:rsid w:val="00AA7A1D"/>
    <w:rsid w:val="00AB2218"/>
    <w:rsid w:val="00AC1970"/>
    <w:rsid w:val="00AE57B5"/>
    <w:rsid w:val="00B260A5"/>
    <w:rsid w:val="00B310B5"/>
    <w:rsid w:val="00B3453A"/>
    <w:rsid w:val="00B57933"/>
    <w:rsid w:val="00B61543"/>
    <w:rsid w:val="00B85165"/>
    <w:rsid w:val="00B97326"/>
    <w:rsid w:val="00BF1D1A"/>
    <w:rsid w:val="00C112F2"/>
    <w:rsid w:val="00C32C97"/>
    <w:rsid w:val="00C63460"/>
    <w:rsid w:val="00C8651B"/>
    <w:rsid w:val="00C94E3C"/>
    <w:rsid w:val="00C96864"/>
    <w:rsid w:val="00CA0614"/>
    <w:rsid w:val="00CB7D32"/>
    <w:rsid w:val="00CC2FB6"/>
    <w:rsid w:val="00CC5B66"/>
    <w:rsid w:val="00D22400"/>
    <w:rsid w:val="00D70D9F"/>
    <w:rsid w:val="00D7743B"/>
    <w:rsid w:val="00D976DE"/>
    <w:rsid w:val="00DA1915"/>
    <w:rsid w:val="00DC2374"/>
    <w:rsid w:val="00DD415C"/>
    <w:rsid w:val="00DE4BBF"/>
    <w:rsid w:val="00DF17D0"/>
    <w:rsid w:val="00DF38AF"/>
    <w:rsid w:val="00E00AD6"/>
    <w:rsid w:val="00E349D5"/>
    <w:rsid w:val="00E40D30"/>
    <w:rsid w:val="00E7252F"/>
    <w:rsid w:val="00E736B1"/>
    <w:rsid w:val="00E73E9E"/>
    <w:rsid w:val="00E965C0"/>
    <w:rsid w:val="00EB0DA6"/>
    <w:rsid w:val="00ED24E6"/>
    <w:rsid w:val="00EE21F6"/>
    <w:rsid w:val="00EE511F"/>
    <w:rsid w:val="00EE667C"/>
    <w:rsid w:val="00F35586"/>
    <w:rsid w:val="00F42F52"/>
    <w:rsid w:val="00F551E9"/>
    <w:rsid w:val="00F55873"/>
    <w:rsid w:val="00F8430B"/>
    <w:rsid w:val="00F93607"/>
    <w:rsid w:val="00FC186C"/>
    <w:rsid w:val="00FC2DAD"/>
    <w:rsid w:val="00FD2773"/>
    <w:rsid w:val="00FD2B86"/>
    <w:rsid w:val="00FD5B76"/>
    <w:rsid w:val="00FE5153"/>
    <w:rsid w:val="00FE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Normaallaadveeb">
    <w:name w:val="Normal (Web)"/>
    <w:basedOn w:val="Normaallaad"/>
    <w:uiPriority w:val="99"/>
    <w:unhideWhenUsed/>
    <w:rsid w:val="00D22400"/>
    <w:pPr>
      <w:spacing w:before="100" w:beforeAutospacing="1" w:after="100" w:afterAutospacing="1"/>
    </w:pPr>
    <w:rPr>
      <w:rFonts w:ascii="Times New Roman" w:eastAsia="Times New Roman" w:hAnsi="Times New Roman" w:cs="Times New Roman"/>
      <w:sz w:val="24"/>
      <w:lang w:eastAsia="et-EE"/>
    </w:rPr>
  </w:style>
  <w:style w:type="character" w:styleId="Lahendamatamainimine">
    <w:name w:val="Unresolved Mention"/>
    <w:basedOn w:val="Liguvaikefont"/>
    <w:uiPriority w:val="99"/>
    <w:semiHidden/>
    <w:unhideWhenUsed/>
    <w:rsid w:val="00543457"/>
    <w:rPr>
      <w:color w:val="605E5C"/>
      <w:shd w:val="clear" w:color="auto" w:fill="E1DFDD"/>
    </w:rPr>
  </w:style>
  <w:style w:type="character" w:customStyle="1" w:styleId="bold">
    <w:name w:val="bold"/>
    <w:basedOn w:val="Liguvaikefont"/>
    <w:rsid w:val="00115CCE"/>
  </w:style>
  <w:style w:type="paragraph" w:styleId="Loendilik">
    <w:name w:val="List Paragraph"/>
    <w:basedOn w:val="Normaallaad"/>
    <w:uiPriority w:val="34"/>
    <w:qFormat/>
    <w:rsid w:val="008E4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504591989">
      <w:bodyDiv w:val="1"/>
      <w:marLeft w:val="0"/>
      <w:marRight w:val="0"/>
      <w:marTop w:val="0"/>
      <w:marBottom w:val="0"/>
      <w:divBdr>
        <w:top w:val="none" w:sz="0" w:space="0" w:color="auto"/>
        <w:left w:val="none" w:sz="0" w:space="0" w:color="auto"/>
        <w:bottom w:val="none" w:sz="0" w:space="0" w:color="auto"/>
        <w:right w:val="none" w:sz="0" w:space="0" w:color="auto"/>
      </w:divBdr>
    </w:div>
    <w:div w:id="974063470">
      <w:bodyDiv w:val="1"/>
      <w:marLeft w:val="0"/>
      <w:marRight w:val="0"/>
      <w:marTop w:val="0"/>
      <w:marBottom w:val="0"/>
      <w:divBdr>
        <w:top w:val="none" w:sz="0" w:space="0" w:color="auto"/>
        <w:left w:val="none" w:sz="0" w:space="0" w:color="auto"/>
        <w:bottom w:val="none" w:sz="0" w:space="0" w:color="auto"/>
        <w:right w:val="none" w:sz="0" w:space="0" w:color="auto"/>
      </w:divBdr>
    </w:div>
    <w:div w:id="162688300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2" Type="http://schemas.openxmlformats.org/officeDocument/2006/relationships/hyperlink" Target="mailto:virumk.info@kohus.ee" TargetMode="External"/><Relationship Id="rId1" Type="http://schemas.openxmlformats.org/officeDocument/2006/relationships/hyperlink" Target="mailto:virumk.info@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6DD7-E5B9-4039-8E5E-FB3ACEBF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373</Words>
  <Characters>2167</Characters>
  <Application>Microsoft Office Word</Application>
  <DocSecurity>0</DocSecurity>
  <Lines>18</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Liina Naaber-Kivisoo</cp:lastModifiedBy>
  <cp:revision>4</cp:revision>
  <dcterms:created xsi:type="dcterms:W3CDTF">2024-08-22T05:14:00Z</dcterms:created>
  <dcterms:modified xsi:type="dcterms:W3CDTF">2024-08-22T05:54:00Z</dcterms:modified>
</cp:coreProperties>
</file>